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u w:val="none"/>
        </w:rPr>
      </w:pPr>
      <w:r>
        <w:rPr>
          <w:rFonts w:ascii="Calibri" w:hAnsi="Calibri" w:eastAsia="微软雅黑" w:cs="Calibri"/>
          <w:i w:val="0"/>
          <w:caps w:val="0"/>
          <w:color w:val="333333"/>
          <w:spacing w:val="0"/>
          <w:sz w:val="23"/>
          <w:szCs w:val="23"/>
          <w:u w:val="none"/>
          <w:bdr w:val="none" w:color="auto" w:sz="0" w:space="0"/>
          <w:shd w:val="clear" w:fill="FFFFFF"/>
        </w:rPr>
        <w:br w:type="textWrapping"/>
      </w:r>
      <w:r>
        <w:rPr>
          <w:rFonts w:hint="default" w:ascii="Calibri" w:hAnsi="Calibri" w:eastAsia="微软雅黑" w:cs="Calibri"/>
          <w:i w:val="0"/>
          <w:caps w:val="0"/>
          <w:color w:val="333333"/>
          <w:spacing w:val="0"/>
          <w:sz w:val="23"/>
          <w:szCs w:val="23"/>
          <w:u w:val="none"/>
          <w:bdr w:val="none" w:color="auto" w:sz="0" w:space="0"/>
          <w:shd w:val="clear" w:fill="FFFFFF"/>
        </w:rPr>
        <w:t> </w:t>
      </w:r>
    </w:p>
    <w:tbl>
      <w:tblPr>
        <w:tblW w:w="7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6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岗位</w:t>
            </w:r>
          </w:p>
        </w:tc>
        <w:tc>
          <w:tcPr>
            <w:tcW w:w="6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学科及其他要求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语文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人文教育、语文教育、汉语国际教育、华文教育、汉语言文学、汉语言、汉语言教育、汉语言文学教育、对外汉语、古典文献、中国语言文化、应用语言学、汉语言文字学、中国古代文学、中国古典文献学、中国现当代文学、比较文学与世界文学、文艺学、学科教育（语文）、初等教育（汉语言文学方向）、秘书学、文秘、语言学及应用语言学、新闻学专业；或已取得中学语文教师资格证（应届毕业生取得考试合格证且普通话为二甲）。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数学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数学、数学与应用数学、信息与计算数学、数学教育、应用数学、计算数学、概率论及数理统计及相近专业且已取得中学数学教师资格证（应届毕业生取得考试合格证）；或优秀毕业生。户籍不限。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英语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英语、商务英语、英语教育、英语（口译）、英语（笔译）、应用英语、英语语言文学、学科教育（英语）专业且已取得中学英语教师资格证（应届毕业生取得考试合格证）；或优秀毕业生；或在海外英语系国家留学1年以上（限玉环籍）。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科学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物理类、化学类、生物类、科学教育且已取得中学科学、物理、化学教师资格证（应届毕业生取得考试合格证）；或优秀毕业生。户籍不限。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社会（法治）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政治类、历史类、地理类、法学；或已取得中学政治、地理、历史、社政、社会、品德、法治教师资格证（应届毕业生取得考试合格证）。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户籍不限。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体育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1.</w:t>
            </w:r>
            <w:r>
              <w:rPr>
                <w:rFonts w:ascii="Times New Roman" w:hAnsi="Times New Roman" w:eastAsia="宋体" w:cs="Times New Roman"/>
                <w:i w:val="0"/>
                <w:caps w:val="0"/>
                <w:color w:val="333333"/>
                <w:spacing w:val="0"/>
                <w:sz w:val="11"/>
                <w:szCs w:val="11"/>
                <w:u w:val="none"/>
                <w:bdr w:val="none" w:color="auto" w:sz="0" w:space="0"/>
              </w:rPr>
              <w:t>  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1"/>
                <w:szCs w:val="11"/>
                <w:u w:val="none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玉环市籍；体育教学、运动训练、社会体育、竞技体育、田径及相近专业或已取得中小学体育教师资格证（应届毕业生取得考试合格证）。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11"/>
                <w:szCs w:val="11"/>
                <w:u w:val="non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非玉环籍；省运会金牌、省一级运动员且已取得教师资格证（应届毕业生取得考试合格证）。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3"/>
                <w:szCs w:val="23"/>
                <w:u w:val="none"/>
                <w:bdr w:val="none" w:color="auto" w:sz="0" w:space="0"/>
              </w:rPr>
              <w:t>学前</w:t>
            </w:r>
          </w:p>
        </w:tc>
        <w:tc>
          <w:tcPr>
            <w:tcW w:w="6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玉环籍，学前、幼儿、音乐专业且已取得幼儿教师资格证（中小学音乐教师资格证），应届毕业取得考试合格证；或优秀毕业生。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  <w:u w:val="none"/>
          <w:bdr w:val="none" w:color="auto" w:sz="0" w:space="0"/>
          <w:shd w:val="clear" w:fill="FFFFFF"/>
        </w:rPr>
        <w:t>注：优秀毕业生指高考分数上一段线且被一本院校录取、全日制普通高校研究生学历，同时已取得相应学科教师资格考试合格证或专业相符。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53C4B"/>
    <w:rsid w:val="3A753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2019-07-25T11:52:00Z</dcterms:created>
  <dc:creator>ASUS</dc:creator>
  <cp:lastModifiedBy>ASUS</cp:lastModifiedBy>
  <dcterms:modified xsi:type="dcterms:W3CDTF">2019-07-25T11:53:02Z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